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26" w:rsidRPr="00B80426" w:rsidRDefault="00B80426" w:rsidP="00B80426">
      <w:pPr>
        <w:spacing w:after="0" w:line="240" w:lineRule="auto"/>
        <w:jc w:val="right"/>
        <w:rPr>
          <w:rFonts w:ascii="PT Astra Serif" w:eastAsia="Times New Roman" w:hAnsi="PT Astra Serif" w:cs="Times New Roman"/>
          <w:kern w:val="2"/>
          <w:sz w:val="24"/>
          <w:szCs w:val="28"/>
          <w:lang w:eastAsia="ru-RU"/>
          <w14:ligatures w14:val="standardContextual"/>
        </w:rPr>
      </w:pPr>
      <w:r w:rsidRPr="00B80426">
        <w:rPr>
          <w:rFonts w:ascii="PT Astra Serif" w:eastAsia="Times New Roman" w:hAnsi="PT Astra Serif" w:cs="Times New Roman"/>
          <w:kern w:val="2"/>
          <w:sz w:val="24"/>
          <w:szCs w:val="28"/>
          <w:lang w:eastAsia="ru-RU"/>
          <w14:ligatures w14:val="standardContextual"/>
        </w:rPr>
        <w:t>Приложение</w:t>
      </w:r>
    </w:p>
    <w:p w:rsidR="00B80426" w:rsidRPr="00B80426" w:rsidRDefault="00B80426" w:rsidP="00B80426">
      <w:pPr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kern w:val="2"/>
          <w:sz w:val="24"/>
          <w:szCs w:val="24"/>
          <w:lang w:eastAsia="ru-RU"/>
          <w14:ligatures w14:val="standardContextual"/>
        </w:rPr>
      </w:pPr>
    </w:p>
    <w:p w:rsidR="00B80426" w:rsidRPr="00B80426" w:rsidRDefault="00B80426" w:rsidP="00B80426">
      <w:pPr>
        <w:shd w:val="clear" w:color="auto" w:fill="FFFFFF"/>
        <w:spacing w:after="225" w:line="330" w:lineRule="atLeast"/>
        <w:ind w:firstLine="709"/>
        <w:jc w:val="center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  <w:t>Информация для некоммерческих организаций о новой форме отчетности и единственном способе ее подачи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Управление Минюста России по Ивановской области информирует, что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</w:t>
      </w:r>
      <w:r w:rsidRPr="00B80426"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  <w:t>с 1 января 2026 года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 все некоммерческие организации (за исключением политических партий и религиозных организаций) представляют в Минюст России и его территориальные органы отчет о своей деятельности по </w:t>
      </w:r>
      <w:r w:rsidRPr="00B80426"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  <w:t>единой унифицированной форме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, предусматривающей объединение форм отчётности Минюста и Росстата.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Форма отчетности, порядок и сроки её представления утверждены приказом Минюста России от 09.12.2025 № 336 «Об отчетности некоммерческих организаций». Приказом установлен </w:t>
      </w:r>
      <w:r w:rsidRPr="00B80426"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  <w:t>исключительно электронный способ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 представления отчета посредством личного кабинета некоммерческой организации на  </w:t>
      </w:r>
      <w:hyperlink r:id="rId4" w:history="1">
        <w:r w:rsidRPr="00B80426">
          <w:rPr>
            <w:rFonts w:ascii="PT Astra Serif" w:eastAsia="Times New Roman" w:hAnsi="PT Astra Serif" w:cs="Arial"/>
            <w:color w:val="4B69BF"/>
            <w:sz w:val="24"/>
            <w:szCs w:val="24"/>
            <w:u w:val="single"/>
            <w:lang w:eastAsia="ru-RU"/>
          </w:rPr>
          <w:t>Портале Минюста России для некоммерческих организаций</w:t>
        </w:r>
      </w:hyperlink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 (</w:t>
      </w:r>
      <w:hyperlink r:id="rId5" w:history="1">
        <w:r w:rsidRPr="00B80426">
          <w:rPr>
            <w:rFonts w:ascii="PT Astra Serif" w:eastAsia="Times New Roman" w:hAnsi="PT Astra Serif" w:cs="Arial"/>
            <w:color w:val="0563C1"/>
            <w:sz w:val="24"/>
            <w:szCs w:val="24"/>
            <w:u w:val="single"/>
            <w:lang w:eastAsia="ru-RU"/>
          </w:rPr>
          <w:t>https://nco.minjust.gov.ru</w:t>
        </w:r>
      </w:hyperlink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) (далее - Портал).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Срок представления отчета– ежегодно </w:t>
      </w:r>
      <w:r w:rsidRPr="00B80426"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  <w:t>не позднее 15 апреля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 года, следующего за отчетным.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Личный кабинет на Портале </w:t>
      </w:r>
      <w:bookmarkStart w:id="0" w:name="_GoBack"/>
      <w:bookmarkEnd w:id="0"/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создан для каждой зарегистрированной некоммерческой организации. Для работы с личным кабинетом необходимо наличие: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1) у руководителя некоммерческой организации учетной записи на </w:t>
      </w:r>
      <w:proofErr w:type="spellStart"/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Госуслугах</w:t>
      </w:r>
      <w:proofErr w:type="spellEnd"/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;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2) привязанной учетной записи руководителя на </w:t>
      </w:r>
      <w:proofErr w:type="spellStart"/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Госуслугах</w:t>
      </w:r>
      <w:proofErr w:type="spellEnd"/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к некоммерческой организации;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3) усиленной квалифицированной электронной подписи руководителя некоммерческой организации.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kern w:val="2"/>
          <w:sz w:val="24"/>
          <w:szCs w:val="24"/>
          <w:lang w:eastAsia="ru-RU"/>
          <w14:ligatures w14:val="standardContextual"/>
        </w:rPr>
      </w:pPr>
      <w:r w:rsidRPr="00B80426">
        <w:rPr>
          <w:rFonts w:ascii="PT Astra Serif" w:eastAsia="Times New Roman" w:hAnsi="PT Astra Serif" w:cs="Arial"/>
          <w:color w:val="333333"/>
          <w:kern w:val="2"/>
          <w:sz w:val="24"/>
          <w:szCs w:val="24"/>
          <w:lang w:eastAsia="ru-RU"/>
          <w14:ligatures w14:val="standardContextual"/>
        </w:rPr>
        <w:t xml:space="preserve">Перед началом работы в личном кабинете и </w:t>
      </w:r>
      <w:r w:rsidRPr="00B80426">
        <w:rPr>
          <w:rFonts w:ascii="PT Astra Serif" w:eastAsia="Times New Roman" w:hAnsi="PT Astra Serif" w:cs="Arial"/>
          <w:color w:val="333333"/>
          <w:kern w:val="2"/>
          <w:sz w:val="24"/>
          <w:szCs w:val="24"/>
          <w:lang w:eastAsia="ru-RU"/>
          <w14:ligatures w14:val="standardContextual"/>
        </w:rPr>
        <w:t>заполнением</w:t>
      </w:r>
      <w:r w:rsidRPr="00B80426">
        <w:rPr>
          <w:rFonts w:ascii="PT Astra Serif" w:eastAsia="Times New Roman" w:hAnsi="PT Astra Serif" w:cs="Arial"/>
          <w:color w:val="333333"/>
          <w:kern w:val="2"/>
          <w:sz w:val="24"/>
          <w:szCs w:val="24"/>
          <w:lang w:eastAsia="ru-RU"/>
          <w14:ligatures w14:val="standardContextual"/>
        </w:rPr>
        <w:t xml:space="preserve"> отчета необходимо ознакомиться с инструкциями, размещенными  на главной странице Портала (</w:t>
      </w:r>
      <w:hyperlink r:id="rId6" w:history="1">
        <w:r w:rsidRPr="00B80426">
          <w:rPr>
            <w:rFonts w:ascii="PT Astra Serif" w:eastAsia="Times New Roman" w:hAnsi="PT Astra Serif" w:cs="Arial"/>
            <w:color w:val="0563C1"/>
            <w:kern w:val="2"/>
            <w:sz w:val="24"/>
            <w:szCs w:val="24"/>
            <w:u w:val="single"/>
            <w:lang w:eastAsia="ru-RU"/>
            <w14:ligatures w14:val="standardContextual"/>
          </w:rPr>
          <w:t>https://nco.minjust.gov.ru/ru/faq</w:t>
        </w:r>
      </w:hyperlink>
      <w:r w:rsidRPr="00B80426">
        <w:rPr>
          <w:rFonts w:ascii="PT Astra Serif" w:eastAsia="Times New Roman" w:hAnsi="PT Astra Serif" w:cs="Arial"/>
          <w:color w:val="333333"/>
          <w:kern w:val="2"/>
          <w:sz w:val="24"/>
          <w:szCs w:val="24"/>
          <w:lang w:eastAsia="ru-RU"/>
          <w14:ligatures w14:val="standardContextual"/>
        </w:rPr>
        <w:t>) 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В новом отчете 8 разделов. Перечень разделов формы отчета и объем сведений, необходимых для заполнения некоммерческой организацией, устанавливаются в личном кабинете автоматически, исходя из организационно-правовой формы некоммерческой организации, ее вида и (или) типа.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После полного заполнения всех необходимых разделов формы отчет подписывается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 xml:space="preserve"> ЭЦП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. После подписания отчета некоммерческая организация получает уведомление, сформированное системой Портала, о приеме отчета, которое фиксируется автоматически в личном кабинете и на самом Портале в разделе «Отчеты».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Дата направления уведомления о приеме отчета считается датой представления некоммерческой организацией отчета. При этом некоммерческие организации освобождаются от обязанности опубликования отчётности на других ресурсах в Интернете и средствах массовой информации.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По результатам проверки содержащихся в отчете сведений Министерство юстиции Российской Федерации направляет некоммерческой организации информацию, фиксируемую в ее личном кабинете. В случае, если в информации содержится указание на необходимость корректировки отчета, некоммерческая организация представляет исправленный отчет в срок </w:t>
      </w:r>
      <w:r w:rsidRPr="00B80426"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  <w:t>не позднее 3 рабочих дней</w:t>
      </w: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 со дня получения информации.</w:t>
      </w:r>
    </w:p>
    <w:p w:rsidR="00B80426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</w:pPr>
      <w:r w:rsidRPr="00B80426">
        <w:rPr>
          <w:rFonts w:ascii="PT Astra Serif" w:eastAsia="Times New Roman" w:hAnsi="PT Astra Serif" w:cs="Arial"/>
          <w:b/>
          <w:bCs/>
          <w:color w:val="333333"/>
          <w:sz w:val="24"/>
          <w:szCs w:val="24"/>
          <w:lang w:eastAsia="ru-RU"/>
        </w:rPr>
        <w:t>В целях оказания практической помощи некоммерческим организациям в размещении отчета Управлением выделено рабочее место, которое доступно любой некоммерческой организации по адресу Управления (г. Иваново, ул. Багаева, д. 27).</w:t>
      </w:r>
    </w:p>
    <w:p w:rsidR="00A81713" w:rsidRPr="00B80426" w:rsidRDefault="00B80426" w:rsidP="00B80426">
      <w:pPr>
        <w:shd w:val="clear" w:color="auto" w:fill="FFFFFF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B80426">
        <w:rPr>
          <w:rFonts w:ascii="PT Astra Serif" w:eastAsia="Times New Roman" w:hAnsi="PT Astra Serif" w:cs="Arial"/>
          <w:color w:val="333333"/>
          <w:sz w:val="24"/>
          <w:szCs w:val="24"/>
          <w:lang w:eastAsia="ru-RU"/>
        </w:rPr>
        <w:t>По вопросам представления отчетности можно обратиться в Управление по телефону (4932) 26-79-68 (доб. 314, 313, 222, 444, 312, 311) либо по адресу электронной почты: ru37-nko@minjust.gov.ru.</w:t>
      </w:r>
    </w:p>
    <w:sectPr w:rsidR="00A81713" w:rsidRPr="00B80426" w:rsidSect="00B8042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52"/>
    <w:rsid w:val="00421B52"/>
    <w:rsid w:val="00A81713"/>
    <w:rsid w:val="00B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4B2B"/>
  <w15:chartTrackingRefBased/>
  <w15:docId w15:val="{722E71CA-9515-4D3A-BB72-03C8530A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o.minjust.gov.ru/ru/faq" TargetMode="External"/><Relationship Id="rId5" Type="http://schemas.openxmlformats.org/officeDocument/2006/relationships/hyperlink" Target="https://nco.minjust.gov.ru" TargetMode="External"/><Relationship Id="rId4" Type="http://schemas.openxmlformats.org/officeDocument/2006/relationships/hyperlink" Target="https://nco.minjus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Кукушкина</dc:creator>
  <cp:keywords/>
  <dc:description/>
  <cp:lastModifiedBy>Оксана Кукушкина</cp:lastModifiedBy>
  <cp:revision>2</cp:revision>
  <dcterms:created xsi:type="dcterms:W3CDTF">2026-03-12T12:14:00Z</dcterms:created>
  <dcterms:modified xsi:type="dcterms:W3CDTF">2026-03-12T12:17:00Z</dcterms:modified>
</cp:coreProperties>
</file>